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F1F5E8" w14:textId="6B7C12AF" w:rsidR="00B35971" w:rsidRPr="006576B5" w:rsidRDefault="00B35971" w:rsidP="006576B5">
      <w:pPr>
        <w:tabs>
          <w:tab w:val="left" w:pos="9360"/>
        </w:tabs>
        <w:ind w:left="-720" w:right="720"/>
        <w:rPr>
          <w:rFonts w:ascii="Times New Roman" w:hAnsi="Times New Roman" w:cs="Times New Roman"/>
          <w:i/>
          <w:sz w:val="28"/>
          <w:szCs w:val="28"/>
        </w:rPr>
      </w:pPr>
      <w:r>
        <w:rPr>
          <w:rFonts w:ascii="Times New Roman" w:hAnsi="Times New Roman" w:cs="Times New Roman"/>
          <w:i/>
          <w:sz w:val="28"/>
          <w:szCs w:val="28"/>
        </w:rPr>
        <w:t xml:space="preserve">        </w:t>
      </w:r>
      <w:r w:rsidRPr="001E5219">
        <w:rPr>
          <w:rFonts w:ascii="Times New Roman" w:hAnsi="Times New Roman" w:cs="Times New Roman"/>
          <w:i/>
          <w:sz w:val="28"/>
          <w:szCs w:val="28"/>
        </w:rPr>
        <w:t>Chlamydia trachomatis</w:t>
      </w:r>
      <w:r w:rsidRPr="001E5219">
        <w:rPr>
          <w:rFonts w:ascii="Times New Roman" w:hAnsi="Times New Roman" w:cs="Times New Roman"/>
          <w:sz w:val="28"/>
          <w:szCs w:val="28"/>
        </w:rPr>
        <w:t xml:space="preserve"> is an obligate intracellular organism that is responsible for one of the most common bacterial STI’s reported worldwide (&gt;100 million cases are documented worldwide per year), and it is further classified into 15 serovars: Serovars A-C are accountable for trachoma, the most common cause of bacterial induced vision loss in underdeveloped countries, serovars D-K are accountable for infection of the genital mucosa, and serovars L1-L2 are accountable for lymphogranuloma venereum (1). Even though the disease can be asymptomatic, it is still capable of causing tissue damage within the reproductive tract that leads to infertility and ectopic pregnancies i</w:t>
      </w:r>
      <w:r w:rsidR="0036098E">
        <w:rPr>
          <w:rFonts w:ascii="Times New Roman" w:hAnsi="Times New Roman" w:cs="Times New Roman"/>
          <w:sz w:val="28"/>
          <w:szCs w:val="28"/>
        </w:rPr>
        <w:t>n women. Recurrence and persiste</w:t>
      </w:r>
      <w:r w:rsidRPr="001E5219">
        <w:rPr>
          <w:rFonts w:ascii="Times New Roman" w:hAnsi="Times New Roman" w:cs="Times New Roman"/>
          <w:sz w:val="28"/>
          <w:szCs w:val="28"/>
        </w:rPr>
        <w:t xml:space="preserve">nce of infection has also been linked to the development of cervical and ovarian cancers (2). </w:t>
      </w:r>
      <w:r>
        <w:rPr>
          <w:rFonts w:ascii="Times New Roman" w:hAnsi="Times New Roman" w:cs="Times New Roman"/>
          <w:sz w:val="28"/>
          <w:szCs w:val="28"/>
        </w:rPr>
        <w:t>No vaccines are currently available.</w:t>
      </w:r>
    </w:p>
    <w:p w14:paraId="06AEA045" w14:textId="77777777" w:rsidR="00B35971" w:rsidRDefault="001E5219" w:rsidP="00B35971">
      <w:pPr>
        <w:tabs>
          <w:tab w:val="left" w:pos="9360"/>
        </w:tabs>
        <w:ind w:left="-720" w:right="720"/>
        <w:rPr>
          <w:rFonts w:ascii="Times New Roman" w:hAnsi="Times New Roman" w:cs="Times New Roman"/>
          <w:i/>
          <w:sz w:val="28"/>
          <w:szCs w:val="28"/>
        </w:rPr>
      </w:pPr>
      <w:r w:rsidRPr="001E5219">
        <w:rPr>
          <w:rFonts w:ascii="Times New Roman" w:hAnsi="Times New Roman" w:cs="Times New Roman"/>
          <w:i/>
          <w:noProof/>
          <w:sz w:val="28"/>
          <w:szCs w:val="28"/>
        </w:rPr>
        <w:drawing>
          <wp:inline distT="0" distB="0" distL="0" distR="0" wp14:anchorId="3D320E1D" wp14:editId="189FA4E5">
            <wp:extent cx="6400800" cy="6022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00800" cy="6022975"/>
                    </a:xfrm>
                    <a:prstGeom prst="rect">
                      <a:avLst/>
                    </a:prstGeom>
                    <a:noFill/>
                    <a:ln>
                      <a:noFill/>
                    </a:ln>
                  </pic:spPr>
                </pic:pic>
              </a:graphicData>
            </a:graphic>
          </wp:inline>
        </w:drawing>
      </w:r>
    </w:p>
    <w:p w14:paraId="3126FBBC" w14:textId="03489FEB" w:rsidR="001E5219" w:rsidRPr="00E752D1" w:rsidRDefault="001E5219" w:rsidP="00B35971">
      <w:pPr>
        <w:tabs>
          <w:tab w:val="left" w:pos="9360"/>
        </w:tabs>
        <w:ind w:left="-720" w:right="720"/>
        <w:rPr>
          <w:rFonts w:ascii="Times New Roman" w:hAnsi="Times New Roman" w:cs="Times New Roman"/>
          <w:sz w:val="28"/>
          <w:szCs w:val="28"/>
        </w:rPr>
      </w:pPr>
      <w:r>
        <w:rPr>
          <w:rFonts w:ascii="Times New Roman" w:hAnsi="Times New Roman" w:cs="Times New Roman"/>
          <w:sz w:val="28"/>
          <w:szCs w:val="28"/>
        </w:rPr>
        <w:lastRenderedPageBreak/>
        <w:t xml:space="preserve">Fig. 1- Developmental Cycle of </w:t>
      </w:r>
      <w:r>
        <w:rPr>
          <w:rFonts w:ascii="Times New Roman" w:hAnsi="Times New Roman" w:cs="Times New Roman"/>
          <w:i/>
          <w:sz w:val="28"/>
          <w:szCs w:val="28"/>
        </w:rPr>
        <w:t>Chlamydia spp.</w:t>
      </w:r>
      <w:r w:rsidR="00135050">
        <w:rPr>
          <w:rFonts w:ascii="Times New Roman" w:hAnsi="Times New Roman" w:cs="Times New Roman"/>
          <w:i/>
          <w:sz w:val="28"/>
          <w:szCs w:val="28"/>
        </w:rPr>
        <w:t xml:space="preserve"> </w:t>
      </w:r>
      <w:r w:rsidR="00C436B9">
        <w:rPr>
          <w:rFonts w:ascii="Times New Roman" w:hAnsi="Times New Roman" w:cs="Times New Roman"/>
          <w:i/>
          <w:sz w:val="28"/>
          <w:szCs w:val="28"/>
        </w:rPr>
        <w:t>(3)</w:t>
      </w:r>
    </w:p>
    <w:p w14:paraId="3F942BD8" w14:textId="77777777" w:rsidR="001E5219" w:rsidRDefault="001E5219" w:rsidP="001E5219">
      <w:pPr>
        <w:tabs>
          <w:tab w:val="left" w:pos="9360"/>
        </w:tabs>
        <w:ind w:left="-720" w:right="720" w:firstLine="720"/>
        <w:rPr>
          <w:rFonts w:ascii="Times New Roman" w:hAnsi="Times New Roman" w:cs="Times New Roman"/>
          <w:i/>
          <w:sz w:val="28"/>
          <w:szCs w:val="28"/>
        </w:rPr>
      </w:pPr>
    </w:p>
    <w:p w14:paraId="39FD204B" w14:textId="77777777" w:rsidR="00B35971" w:rsidRDefault="00B35971" w:rsidP="00B35971">
      <w:pPr>
        <w:tabs>
          <w:tab w:val="left" w:pos="9360"/>
        </w:tabs>
        <w:ind w:right="720"/>
        <w:rPr>
          <w:rFonts w:ascii="Times New Roman" w:hAnsi="Times New Roman" w:cs="Times New Roman"/>
          <w:i/>
          <w:sz w:val="28"/>
          <w:szCs w:val="28"/>
        </w:rPr>
      </w:pPr>
      <w:r>
        <w:rPr>
          <w:rFonts w:ascii="Times New Roman" w:hAnsi="Times New Roman" w:cs="Times New Roman"/>
          <w:i/>
          <w:sz w:val="28"/>
          <w:szCs w:val="28"/>
        </w:rPr>
        <w:tab/>
      </w:r>
    </w:p>
    <w:p w14:paraId="0A1C8D2A" w14:textId="46A0DF17" w:rsidR="00EC215C" w:rsidRPr="006576B5" w:rsidRDefault="00B35971" w:rsidP="00C436B9">
      <w:pPr>
        <w:tabs>
          <w:tab w:val="left" w:pos="9360"/>
        </w:tabs>
        <w:ind w:left="-630" w:right="720"/>
        <w:rPr>
          <w:rFonts w:ascii="Times New Roman" w:hAnsi="Times New Roman" w:cs="Times New Roman"/>
          <w:noProof/>
          <w:sz w:val="28"/>
          <w:szCs w:val="28"/>
        </w:rPr>
      </w:pPr>
      <w:r w:rsidRPr="006576B5">
        <w:rPr>
          <w:rFonts w:ascii="Times New Roman" w:hAnsi="Times New Roman" w:cs="Times New Roman"/>
          <w:i/>
          <w:sz w:val="28"/>
          <w:szCs w:val="28"/>
        </w:rPr>
        <w:t xml:space="preserve">      </w:t>
      </w:r>
      <w:r w:rsidR="001E5219" w:rsidRPr="006576B5">
        <w:rPr>
          <w:rFonts w:ascii="Times New Roman" w:hAnsi="Times New Roman" w:cs="Times New Roman"/>
          <w:i/>
          <w:sz w:val="28"/>
          <w:szCs w:val="28"/>
        </w:rPr>
        <w:t>Chlamydia spp.</w:t>
      </w:r>
      <w:r w:rsidR="001E5219" w:rsidRPr="006576B5">
        <w:rPr>
          <w:rFonts w:ascii="Times New Roman" w:hAnsi="Times New Roman" w:cs="Times New Roman"/>
          <w:sz w:val="28"/>
          <w:szCs w:val="28"/>
        </w:rPr>
        <w:t xml:space="preserve"> have a unique developmental cycle that involve</w:t>
      </w:r>
      <w:r w:rsidR="00B32768">
        <w:rPr>
          <w:rFonts w:ascii="Times New Roman" w:hAnsi="Times New Roman" w:cs="Times New Roman"/>
          <w:sz w:val="28"/>
          <w:szCs w:val="28"/>
        </w:rPr>
        <w:t>s</w:t>
      </w:r>
      <w:r w:rsidR="001E5219" w:rsidRPr="006576B5">
        <w:rPr>
          <w:rFonts w:ascii="Times New Roman" w:hAnsi="Times New Roman" w:cs="Times New Roman"/>
          <w:sz w:val="28"/>
          <w:szCs w:val="28"/>
        </w:rPr>
        <w:t xml:space="preserve"> infection of epithelial cells</w:t>
      </w:r>
      <w:r w:rsidR="006576B5" w:rsidRPr="006576B5">
        <w:rPr>
          <w:rFonts w:ascii="Times New Roman" w:hAnsi="Times New Roman" w:cs="Times New Roman"/>
          <w:sz w:val="28"/>
          <w:szCs w:val="28"/>
        </w:rPr>
        <w:t xml:space="preserve">, hijacking of host cell components, and </w:t>
      </w:r>
      <w:r w:rsidR="001E5219" w:rsidRPr="006576B5">
        <w:rPr>
          <w:rFonts w:ascii="Times New Roman" w:hAnsi="Times New Roman" w:cs="Times New Roman"/>
          <w:sz w:val="28"/>
          <w:szCs w:val="28"/>
        </w:rPr>
        <w:t>the transition between two forms of the bacteria over a course of 48-72 hours depending on the species: extracellular elementary bodies (EBs) and intracellular elementary bodies (EBs)</w:t>
      </w:r>
      <w:r w:rsidR="00EC215C" w:rsidRPr="006576B5">
        <w:rPr>
          <w:rFonts w:ascii="Times New Roman" w:hAnsi="Times New Roman" w:cs="Times New Roman"/>
          <w:sz w:val="28"/>
          <w:szCs w:val="28"/>
        </w:rPr>
        <w:t xml:space="preserve"> (4</w:t>
      </w:r>
      <w:r w:rsidR="001E5219" w:rsidRPr="006576B5">
        <w:rPr>
          <w:rFonts w:ascii="Times New Roman" w:hAnsi="Times New Roman" w:cs="Times New Roman"/>
          <w:sz w:val="28"/>
          <w:szCs w:val="28"/>
        </w:rPr>
        <w:t>). EBs are the infectious, non-metabolically active form, while RBs are the replicatory, noninfectious, metabolically active form.  After 48-72 hours, the EBs exit the host cell either by lysis or a mechanism known as inclusion extrusion.</w:t>
      </w:r>
      <w:r w:rsidR="001E5219" w:rsidRPr="006576B5">
        <w:rPr>
          <w:rFonts w:ascii="Times New Roman" w:hAnsi="Times New Roman" w:cs="Times New Roman"/>
          <w:noProof/>
          <w:sz w:val="28"/>
          <w:szCs w:val="28"/>
        </w:rPr>
        <w:t xml:space="preserve"> </w:t>
      </w:r>
      <w:r w:rsidR="00BC0F1A">
        <w:rPr>
          <w:rFonts w:ascii="Times New Roman" w:hAnsi="Times New Roman" w:cs="Times New Roman"/>
          <w:noProof/>
          <w:sz w:val="28"/>
          <w:szCs w:val="28"/>
        </w:rPr>
        <w:t>From this point, the</w:t>
      </w:r>
      <w:bookmarkStart w:id="0" w:name="_GoBack"/>
      <w:bookmarkEnd w:id="0"/>
      <w:r w:rsidR="006576B5" w:rsidRPr="006576B5">
        <w:rPr>
          <w:rFonts w:ascii="Times New Roman" w:hAnsi="Times New Roman" w:cs="Times New Roman"/>
          <w:noProof/>
          <w:sz w:val="28"/>
          <w:szCs w:val="28"/>
        </w:rPr>
        <w:t xml:space="preserve"> cycle continues. </w:t>
      </w:r>
    </w:p>
    <w:p w14:paraId="6CEF7607" w14:textId="77777777" w:rsidR="00C436B9" w:rsidRDefault="00C436B9" w:rsidP="00C436B9">
      <w:pPr>
        <w:tabs>
          <w:tab w:val="left" w:pos="9360"/>
        </w:tabs>
        <w:ind w:left="-630" w:right="720"/>
        <w:rPr>
          <w:rFonts w:ascii="Times New Roman" w:hAnsi="Times New Roman" w:cs="Times New Roman"/>
          <w:sz w:val="28"/>
          <w:szCs w:val="28"/>
        </w:rPr>
      </w:pPr>
    </w:p>
    <w:p w14:paraId="398FD4B8" w14:textId="77777777" w:rsidR="00C436B9" w:rsidRDefault="00C436B9" w:rsidP="00C436B9">
      <w:pPr>
        <w:tabs>
          <w:tab w:val="left" w:pos="9360"/>
        </w:tabs>
        <w:ind w:left="-630" w:right="720"/>
        <w:rPr>
          <w:rFonts w:ascii="Times New Roman" w:hAnsi="Times New Roman" w:cs="Times New Roman"/>
          <w:sz w:val="28"/>
          <w:szCs w:val="28"/>
        </w:rPr>
      </w:pPr>
    </w:p>
    <w:p w14:paraId="02C923DC" w14:textId="77777777" w:rsidR="00C436B9" w:rsidRPr="00A02589" w:rsidRDefault="00C436B9" w:rsidP="00C436B9">
      <w:pPr>
        <w:pStyle w:val="EndNoteBibliography"/>
        <w:ind w:left="-720"/>
        <w:rPr>
          <w:rFonts w:asciiTheme="minorHAnsi" w:hAnsiTheme="minorHAnsi"/>
          <w:b/>
        </w:rPr>
      </w:pPr>
      <w:r w:rsidRPr="00A02589">
        <w:rPr>
          <w:rFonts w:asciiTheme="minorHAnsi" w:hAnsiTheme="minorHAnsi"/>
          <w:b/>
        </w:rPr>
        <w:t>References</w:t>
      </w:r>
    </w:p>
    <w:p w14:paraId="7971579B" w14:textId="77777777" w:rsidR="00C436B9" w:rsidRDefault="00C436B9" w:rsidP="00C436B9">
      <w:pPr>
        <w:pStyle w:val="EndNoteBibliography"/>
        <w:ind w:left="-720"/>
        <w:rPr>
          <w:rFonts w:asciiTheme="minorHAnsi" w:hAnsiTheme="minorHAnsi"/>
        </w:rPr>
      </w:pPr>
    </w:p>
    <w:p w14:paraId="4FEA4941" w14:textId="77777777" w:rsidR="006576B5" w:rsidRDefault="00C436B9" w:rsidP="00C436B9">
      <w:pPr>
        <w:ind w:left="-720" w:right="720"/>
        <w:rPr>
          <w:rFonts w:ascii="Times New Roman" w:hAnsi="Times New Roman" w:cs="Times New Roman"/>
          <w:color w:val="000000"/>
        </w:rPr>
      </w:pPr>
      <w:r w:rsidRPr="00A519DD">
        <w:rPr>
          <w:rFonts w:ascii="Times New Roman" w:hAnsi="Times New Roman" w:cs="Times New Roman"/>
          <w:b/>
        </w:rPr>
        <w:t>1.</w:t>
      </w:r>
      <w:r w:rsidRPr="00A519DD">
        <w:rPr>
          <w:rFonts w:ascii="Times New Roman" w:hAnsi="Times New Roman" w:cs="Times New Roman"/>
          <w:color w:val="000000"/>
        </w:rPr>
        <w:t xml:space="preserve"> Schachter, J. (1999). </w:t>
      </w:r>
      <w:r w:rsidRPr="00A519DD">
        <w:rPr>
          <w:rFonts w:ascii="Times New Roman" w:hAnsi="Times New Roman" w:cs="Times New Roman"/>
          <w:i/>
          <w:iCs/>
          <w:color w:val="000000"/>
        </w:rPr>
        <w:t xml:space="preserve">Chlamydia: Intracellular Biology, Pathogenesis, and Immunity, </w:t>
      </w:r>
      <w:r w:rsidRPr="00A519DD">
        <w:rPr>
          <w:rFonts w:ascii="Times New Roman" w:hAnsi="Times New Roman" w:cs="Times New Roman"/>
          <w:color w:val="000000"/>
        </w:rPr>
        <w:t xml:space="preserve">Chapter 6, ed </w:t>
      </w:r>
    </w:p>
    <w:p w14:paraId="0C3AC75B" w14:textId="6A0916D5" w:rsidR="00C436B9" w:rsidRPr="00A519DD" w:rsidRDefault="00C436B9" w:rsidP="00C436B9">
      <w:pPr>
        <w:ind w:left="-720" w:right="720"/>
        <w:rPr>
          <w:rFonts w:ascii="Times New Roman" w:hAnsi="Times New Roman" w:cs="Times New Roman"/>
          <w:b/>
        </w:rPr>
      </w:pPr>
      <w:r w:rsidRPr="00A519DD">
        <w:rPr>
          <w:rFonts w:ascii="Times New Roman" w:hAnsi="Times New Roman" w:cs="Times New Roman"/>
          <w:color w:val="000000"/>
        </w:rPr>
        <w:t xml:space="preserve">R. S. Stephens (Washington, DC: ASM Press), 139–170. </w:t>
      </w:r>
      <w:r w:rsidRPr="00A519DD">
        <w:rPr>
          <w:rFonts w:ascii="Times New Roman" w:hAnsi="Times New Roman" w:cs="Times New Roman"/>
          <w:b/>
        </w:rPr>
        <w:t xml:space="preserve"> </w:t>
      </w:r>
    </w:p>
    <w:p w14:paraId="45FEA3C8" w14:textId="77777777" w:rsidR="00C436B9" w:rsidRPr="00A519DD" w:rsidRDefault="00C436B9" w:rsidP="00C436B9">
      <w:pPr>
        <w:ind w:left="-720" w:right="720"/>
        <w:rPr>
          <w:rFonts w:ascii="Times New Roman" w:hAnsi="Times New Roman" w:cs="Times New Roman"/>
          <w:b/>
        </w:rPr>
      </w:pPr>
    </w:p>
    <w:p w14:paraId="54DE1290" w14:textId="77777777" w:rsidR="00C436B9" w:rsidRPr="00A519DD" w:rsidRDefault="00C436B9" w:rsidP="00C436B9">
      <w:pPr>
        <w:ind w:left="-720" w:right="720"/>
        <w:rPr>
          <w:rFonts w:ascii="Times New Roman" w:hAnsi="Times New Roman" w:cs="Times New Roman"/>
          <w:noProof/>
        </w:rPr>
      </w:pPr>
      <w:r w:rsidRPr="00A519DD">
        <w:rPr>
          <w:rFonts w:ascii="Times New Roman" w:hAnsi="Times New Roman" w:cs="Times New Roman"/>
          <w:b/>
        </w:rPr>
        <w:t xml:space="preserve">2. </w:t>
      </w:r>
      <w:r w:rsidRPr="00A519DD">
        <w:rPr>
          <w:rFonts w:ascii="Times New Roman" w:hAnsi="Times New Roman" w:cs="Times New Roman"/>
          <w:noProof/>
        </w:rPr>
        <w:t xml:space="preserve">Das, M. (2018). Chlamydial infection and ovarian cancer risk. Lancet Oncol 19(7):e338. doi: 10.1016/S1470-2045(18)30421-2. </w:t>
      </w:r>
    </w:p>
    <w:p w14:paraId="667AEF28" w14:textId="77777777" w:rsidR="00C436B9" w:rsidRPr="00A519DD" w:rsidRDefault="00C436B9" w:rsidP="00C436B9">
      <w:pPr>
        <w:pStyle w:val="EndNoteBibliography"/>
        <w:ind w:left="-720"/>
        <w:rPr>
          <w:rFonts w:ascii="Times New Roman" w:hAnsi="Times New Roman" w:cs="Times New Roman"/>
        </w:rPr>
      </w:pPr>
    </w:p>
    <w:p w14:paraId="1535D15D" w14:textId="77777777" w:rsidR="00C436B9" w:rsidRPr="00A519DD" w:rsidRDefault="00C436B9" w:rsidP="00C436B9">
      <w:pPr>
        <w:pStyle w:val="EndNoteBibliography"/>
        <w:ind w:left="-720"/>
        <w:rPr>
          <w:rFonts w:ascii="Times New Roman" w:hAnsi="Times New Roman" w:cs="Times New Roman"/>
          <w:noProof/>
        </w:rPr>
      </w:pPr>
      <w:r w:rsidRPr="002C7AC9">
        <w:rPr>
          <w:rFonts w:ascii="Times New Roman" w:hAnsi="Times New Roman" w:cs="Times New Roman"/>
          <w:b/>
        </w:rPr>
        <w:t>3.</w:t>
      </w:r>
      <w:r w:rsidRPr="00A519DD">
        <w:rPr>
          <w:rFonts w:ascii="Times New Roman" w:hAnsi="Times New Roman" w:cs="Times New Roman"/>
        </w:rPr>
        <w:t xml:space="preserve"> </w:t>
      </w:r>
      <w:r w:rsidRPr="00A519DD">
        <w:rPr>
          <w:rFonts w:ascii="Times New Roman" w:hAnsi="Times New Roman" w:cs="Times New Roman"/>
        </w:rPr>
        <w:fldChar w:fldCharType="begin"/>
      </w:r>
      <w:r w:rsidRPr="00A519DD">
        <w:rPr>
          <w:rFonts w:ascii="Times New Roman" w:hAnsi="Times New Roman" w:cs="Times New Roman"/>
        </w:rPr>
        <w:instrText xml:space="preserve"> ADDIN EN.REFLIST </w:instrText>
      </w:r>
      <w:r w:rsidRPr="00A519DD">
        <w:rPr>
          <w:rFonts w:ascii="Times New Roman" w:hAnsi="Times New Roman" w:cs="Times New Roman"/>
        </w:rPr>
        <w:fldChar w:fldCharType="separate"/>
      </w:r>
      <w:r w:rsidRPr="00A519DD">
        <w:rPr>
          <w:rFonts w:ascii="Times New Roman" w:hAnsi="Times New Roman" w:cs="Times New Roman"/>
          <w:noProof/>
        </w:rPr>
        <w:t>Elwell, C., K. Mirrashidi, and J. Engel. (2016). Chlamydia cell biology and pathogenesis. Nat Rev Microbiol 14(6):385-400. doi: 10.1038/nrmicro.2016.30</w:t>
      </w:r>
    </w:p>
    <w:p w14:paraId="4CAD8B9D" w14:textId="77777777" w:rsidR="00C436B9" w:rsidRPr="00A519DD" w:rsidRDefault="00C436B9" w:rsidP="00C436B9">
      <w:pPr>
        <w:ind w:left="-720" w:right="720"/>
        <w:rPr>
          <w:rFonts w:ascii="Times New Roman" w:hAnsi="Times New Roman" w:cs="Times New Roman"/>
        </w:rPr>
      </w:pPr>
      <w:r w:rsidRPr="00A519DD">
        <w:rPr>
          <w:rFonts w:ascii="Times New Roman" w:hAnsi="Times New Roman" w:cs="Times New Roman"/>
        </w:rPr>
        <w:fldChar w:fldCharType="end"/>
      </w:r>
    </w:p>
    <w:p w14:paraId="38D1F408" w14:textId="77777777" w:rsidR="00C436B9" w:rsidRPr="00A519DD" w:rsidRDefault="00C436B9" w:rsidP="00C436B9">
      <w:pPr>
        <w:pStyle w:val="EndNoteBibliography"/>
        <w:ind w:hanging="720"/>
        <w:rPr>
          <w:rFonts w:ascii="Times New Roman" w:hAnsi="Times New Roman" w:cs="Times New Roman"/>
        </w:rPr>
      </w:pPr>
      <w:r w:rsidRPr="00A519DD">
        <w:rPr>
          <w:rFonts w:ascii="Times New Roman" w:hAnsi="Times New Roman" w:cs="Times New Roman"/>
          <w:b/>
          <w:noProof/>
        </w:rPr>
        <w:t>4.</w:t>
      </w:r>
      <w:r w:rsidRPr="00A519DD">
        <w:rPr>
          <w:rFonts w:ascii="Times New Roman" w:hAnsi="Times New Roman" w:cs="Times New Roman"/>
          <w:noProof/>
        </w:rPr>
        <w:t xml:space="preserve"> </w:t>
      </w:r>
      <w:r w:rsidRPr="00A519DD">
        <w:rPr>
          <w:rFonts w:ascii="Times New Roman" w:hAnsi="Times New Roman" w:cs="Times New Roman"/>
        </w:rPr>
        <w:fldChar w:fldCharType="begin"/>
      </w:r>
      <w:r w:rsidRPr="00A519DD">
        <w:rPr>
          <w:rFonts w:ascii="Times New Roman" w:hAnsi="Times New Roman" w:cs="Times New Roman"/>
        </w:rPr>
        <w:instrText xml:space="preserve"> ADDIN EN.REFLIST </w:instrText>
      </w:r>
      <w:r w:rsidRPr="00A519DD">
        <w:rPr>
          <w:rFonts w:ascii="Times New Roman" w:hAnsi="Times New Roman" w:cs="Times New Roman"/>
        </w:rPr>
        <w:fldChar w:fldCharType="separate"/>
      </w:r>
      <w:r w:rsidRPr="00A519DD">
        <w:rPr>
          <w:rFonts w:ascii="Times New Roman" w:hAnsi="Times New Roman" w:cs="Times New Roman"/>
        </w:rPr>
        <w:t xml:space="preserve">Moulder, J. W. (1991). Interaction of chlamydiae and host cells in vitro. Microbiol Rev 55(1):143-190. </w:t>
      </w:r>
    </w:p>
    <w:p w14:paraId="5DE05927" w14:textId="698BA342" w:rsidR="00C436B9" w:rsidRPr="00C436B9" w:rsidRDefault="00C436B9" w:rsidP="00C436B9">
      <w:pPr>
        <w:tabs>
          <w:tab w:val="left" w:pos="9360"/>
        </w:tabs>
        <w:ind w:left="-630" w:right="720"/>
        <w:rPr>
          <w:rFonts w:ascii="Times New Roman" w:hAnsi="Times New Roman" w:cs="Times New Roman"/>
          <w:sz w:val="28"/>
          <w:szCs w:val="28"/>
        </w:rPr>
      </w:pPr>
      <w:r w:rsidRPr="00A519DD">
        <w:rPr>
          <w:rFonts w:ascii="Times New Roman" w:hAnsi="Times New Roman" w:cs="Times New Roman"/>
        </w:rPr>
        <w:fldChar w:fldCharType="end"/>
      </w:r>
    </w:p>
    <w:p w14:paraId="04603963" w14:textId="77777777" w:rsidR="00EC215C" w:rsidRDefault="00EC215C" w:rsidP="00EC215C">
      <w:pPr>
        <w:pStyle w:val="EndNoteBibliography"/>
        <w:ind w:left="-720"/>
        <w:rPr>
          <w:rFonts w:asciiTheme="minorHAnsi" w:hAnsiTheme="minorHAnsi"/>
        </w:rPr>
      </w:pPr>
    </w:p>
    <w:p w14:paraId="40E1D320" w14:textId="77777777" w:rsidR="00A02589" w:rsidRDefault="00A02589" w:rsidP="00EC215C">
      <w:pPr>
        <w:pStyle w:val="EndNoteBibliography"/>
        <w:ind w:left="-720"/>
        <w:rPr>
          <w:rFonts w:asciiTheme="minorHAnsi" w:hAnsiTheme="minorHAnsi"/>
          <w:b/>
        </w:rPr>
      </w:pPr>
    </w:p>
    <w:p w14:paraId="326D3A1C" w14:textId="77777777" w:rsidR="00A02589" w:rsidRDefault="00A02589" w:rsidP="00EC215C">
      <w:pPr>
        <w:pStyle w:val="EndNoteBibliography"/>
        <w:ind w:left="-720"/>
        <w:rPr>
          <w:rFonts w:asciiTheme="minorHAnsi" w:hAnsiTheme="minorHAnsi"/>
          <w:b/>
        </w:rPr>
      </w:pPr>
    </w:p>
    <w:p w14:paraId="235B0297" w14:textId="77777777" w:rsidR="00A02589" w:rsidRDefault="00A02589" w:rsidP="00EC215C">
      <w:pPr>
        <w:pStyle w:val="EndNoteBibliography"/>
        <w:ind w:left="-720"/>
        <w:rPr>
          <w:rFonts w:asciiTheme="minorHAnsi" w:hAnsiTheme="minorHAnsi"/>
          <w:b/>
        </w:rPr>
      </w:pPr>
    </w:p>
    <w:p w14:paraId="3CD11C28" w14:textId="6B944F77" w:rsidR="003621BD" w:rsidRDefault="003621BD" w:rsidP="00035098">
      <w:pPr>
        <w:ind w:left="-990"/>
      </w:pPr>
    </w:p>
    <w:sectPr w:rsidR="003621BD" w:rsidSect="00A57489">
      <w:pgSz w:w="12240" w:h="15840"/>
      <w:pgMar w:top="1440" w:right="63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Animal Scienc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aawz9deoazfvkeefas5tvxkds592t0twwpv&quot;&gt;My EndNote Library&lt;record-ids&gt;&lt;item&gt;611&lt;/item&gt;&lt;/record-ids&gt;&lt;/item&gt;&lt;/Libraries&gt;"/>
  </w:docVars>
  <w:rsids>
    <w:rsidRoot w:val="001E5219"/>
    <w:rsid w:val="00035098"/>
    <w:rsid w:val="00135050"/>
    <w:rsid w:val="001E5219"/>
    <w:rsid w:val="002C7AC9"/>
    <w:rsid w:val="0036098E"/>
    <w:rsid w:val="003621BD"/>
    <w:rsid w:val="004377E1"/>
    <w:rsid w:val="006576B5"/>
    <w:rsid w:val="009D5144"/>
    <w:rsid w:val="00A02589"/>
    <w:rsid w:val="00A519DD"/>
    <w:rsid w:val="00A57489"/>
    <w:rsid w:val="00B32768"/>
    <w:rsid w:val="00B35971"/>
    <w:rsid w:val="00BC0F1A"/>
    <w:rsid w:val="00C035C4"/>
    <w:rsid w:val="00C436B9"/>
    <w:rsid w:val="00CC0D43"/>
    <w:rsid w:val="00E752D1"/>
    <w:rsid w:val="00EC21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69F43D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2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521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5219"/>
    <w:rPr>
      <w:rFonts w:ascii="Lucida Grande" w:hAnsi="Lucida Grande" w:cs="Lucida Grande"/>
      <w:sz w:val="18"/>
      <w:szCs w:val="18"/>
    </w:rPr>
  </w:style>
  <w:style w:type="paragraph" w:customStyle="1" w:styleId="EndNoteBibliographyTitle">
    <w:name w:val="EndNote Bibliography Title"/>
    <w:basedOn w:val="Normal"/>
    <w:rsid w:val="00135050"/>
    <w:pPr>
      <w:jc w:val="center"/>
    </w:pPr>
    <w:rPr>
      <w:rFonts w:ascii="Cambria" w:hAnsi="Cambria"/>
    </w:rPr>
  </w:style>
  <w:style w:type="paragraph" w:customStyle="1" w:styleId="EndNoteBibliography">
    <w:name w:val="EndNote Bibliography"/>
    <w:basedOn w:val="Normal"/>
    <w:rsid w:val="00135050"/>
    <w:rPr>
      <w:rFonts w:ascii="Cambria" w:hAnsi="Cambri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2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521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5219"/>
    <w:rPr>
      <w:rFonts w:ascii="Lucida Grande" w:hAnsi="Lucida Grande" w:cs="Lucida Grande"/>
      <w:sz w:val="18"/>
      <w:szCs w:val="18"/>
    </w:rPr>
  </w:style>
  <w:style w:type="paragraph" w:customStyle="1" w:styleId="EndNoteBibliographyTitle">
    <w:name w:val="EndNote Bibliography Title"/>
    <w:basedOn w:val="Normal"/>
    <w:rsid w:val="00135050"/>
    <w:pPr>
      <w:jc w:val="center"/>
    </w:pPr>
    <w:rPr>
      <w:rFonts w:ascii="Cambria" w:hAnsi="Cambria"/>
    </w:rPr>
  </w:style>
  <w:style w:type="paragraph" w:customStyle="1" w:styleId="EndNoteBibliography">
    <w:name w:val="EndNote Bibliography"/>
    <w:basedOn w:val="Normal"/>
    <w:rsid w:val="00135050"/>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316</Words>
  <Characters>1802</Characters>
  <Application>Microsoft Macintosh Word</Application>
  <DocSecurity>0</DocSecurity>
  <Lines>15</Lines>
  <Paragraphs>4</Paragraphs>
  <ScaleCrop>false</ScaleCrop>
  <Company/>
  <LinksUpToDate>false</LinksUpToDate>
  <CharactersWithSpaces>2114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dc:creator>
  <cp:keywords/>
  <dc:description/>
  <cp:lastModifiedBy>Charlotte</cp:lastModifiedBy>
  <cp:revision>16</cp:revision>
  <dcterms:created xsi:type="dcterms:W3CDTF">2018-11-28T21:25:00Z</dcterms:created>
  <dcterms:modified xsi:type="dcterms:W3CDTF">2018-11-29T05:05:00Z</dcterms:modified>
</cp:coreProperties>
</file>